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C24" w:rsidRDefault="00DA4C24" w:rsidP="00793880">
      <w:pPr>
        <w:tabs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9F5A5F" w:rsidRPr="00793880" w:rsidRDefault="00793880" w:rsidP="00793880">
      <w:pPr>
        <w:tabs>
          <w:tab w:val="left" w:pos="851"/>
        </w:tabs>
        <w:spacing w:after="24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93880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tbl>
      <w:tblPr>
        <w:tblW w:w="9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1"/>
        <w:gridCol w:w="2125"/>
        <w:gridCol w:w="3404"/>
        <w:gridCol w:w="708"/>
        <w:gridCol w:w="783"/>
        <w:gridCol w:w="572"/>
        <w:gridCol w:w="9"/>
        <w:gridCol w:w="596"/>
        <w:gridCol w:w="567"/>
        <w:gridCol w:w="593"/>
      </w:tblGrid>
      <w:tr w:rsidR="00676437" w:rsidRPr="001040AA" w:rsidTr="009F5A5F">
        <w:trPr>
          <w:cantSplit/>
          <w:jc w:val="center"/>
        </w:trPr>
        <w:tc>
          <w:tcPr>
            <w:tcW w:w="601" w:type="dxa"/>
            <w:vMerge w:val="restart"/>
            <w:shd w:val="clear" w:color="auto" w:fill="D9D9D9"/>
            <w:vAlign w:val="center"/>
          </w:tcPr>
          <w:p w:rsidR="00676437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Реф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 </w:t>
            </w:r>
          </w:p>
          <w:p w:rsidR="00676437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СМР</w:t>
            </w:r>
          </w:p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2125" w:type="dxa"/>
            <w:vMerge w:val="restart"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СМР</w:t>
            </w:r>
          </w:p>
        </w:tc>
        <w:tc>
          <w:tcPr>
            <w:tcW w:w="3404" w:type="dxa"/>
            <w:vMerge w:val="restart"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Мерна единица</w:t>
            </w:r>
          </w:p>
        </w:tc>
        <w:tc>
          <w:tcPr>
            <w:tcW w:w="783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 xml:space="preserve">Ново строителство – цена в </w:t>
            </w:r>
            <w:r w:rsidRPr="00B0410D">
              <w:rPr>
                <w:rFonts w:ascii="Times New Roman" w:hAnsi="Times New Roman"/>
                <w:b/>
                <w:sz w:val="24"/>
                <w:szCs w:val="24"/>
              </w:rPr>
              <w:t>евро</w:t>
            </w:r>
          </w:p>
        </w:tc>
        <w:tc>
          <w:tcPr>
            <w:tcW w:w="572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Реконст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рукция</w:t>
            </w:r>
            <w:proofErr w:type="spellEnd"/>
          </w:p>
        </w:tc>
        <w:tc>
          <w:tcPr>
            <w:tcW w:w="605" w:type="dxa"/>
            <w:gridSpan w:val="2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Основен ремонт</w:t>
            </w:r>
          </w:p>
        </w:tc>
        <w:tc>
          <w:tcPr>
            <w:tcW w:w="567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Текущ ремонт</w:t>
            </w:r>
          </w:p>
        </w:tc>
        <w:tc>
          <w:tcPr>
            <w:tcW w:w="593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 xml:space="preserve">Довърши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телни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работи</w:t>
            </w:r>
          </w:p>
        </w:tc>
      </w:tr>
      <w:tr w:rsidR="00676437" w:rsidRPr="001040AA" w:rsidTr="009F5A5F">
        <w:trPr>
          <w:cantSplit/>
          <w:trHeight w:val="906"/>
          <w:jc w:val="center"/>
        </w:trPr>
        <w:tc>
          <w:tcPr>
            <w:tcW w:w="601" w:type="dxa"/>
            <w:vMerge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5" w:type="dxa"/>
            <w:vMerge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404" w:type="dxa"/>
            <w:vMerge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D9D9D9"/>
          </w:tcPr>
          <w:p w:rsidR="00676437" w:rsidRDefault="00676437" w:rsidP="00676437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€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/м2;</w:t>
            </w:r>
            <w:r w:rsidRPr="00B0410D">
              <w:rPr>
                <w:rFonts w:ascii="Times New Roman" w:hAnsi="Times New Roman"/>
                <w:i/>
                <w:sz w:val="24"/>
                <w:szCs w:val="24"/>
              </w:rPr>
              <w:t xml:space="preserve"> €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 м3; </w:t>
            </w:r>
            <w:r w:rsidRPr="00B0410D">
              <w:rPr>
                <w:rFonts w:ascii="Times New Roman" w:hAnsi="Times New Roman"/>
                <w:i/>
                <w:sz w:val="24"/>
                <w:szCs w:val="24"/>
              </w:rPr>
              <w:t>€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/м'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;</w:t>
            </w:r>
          </w:p>
          <w:p w:rsidR="00676437" w:rsidRPr="0059626F" w:rsidRDefault="00676437" w:rsidP="0067643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410D">
              <w:rPr>
                <w:rFonts w:ascii="Times New Roman" w:hAnsi="Times New Roman"/>
                <w:i/>
                <w:sz w:val="24"/>
                <w:szCs w:val="24"/>
              </w:rPr>
              <w:t>€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kWp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(kWh)</w:t>
            </w:r>
          </w:p>
        </w:tc>
        <w:tc>
          <w:tcPr>
            <w:tcW w:w="572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605" w:type="dxa"/>
            <w:gridSpan w:val="2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567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593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2125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3404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Г</w:t>
            </w:r>
          </w:p>
        </w:tc>
        <w:tc>
          <w:tcPr>
            <w:tcW w:w="783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</w:t>
            </w:r>
          </w:p>
        </w:tc>
        <w:tc>
          <w:tcPr>
            <w:tcW w:w="572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Е</w:t>
            </w:r>
          </w:p>
        </w:tc>
        <w:tc>
          <w:tcPr>
            <w:tcW w:w="605" w:type="dxa"/>
            <w:gridSpan w:val="2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Ж</w:t>
            </w:r>
          </w:p>
        </w:tc>
        <w:tc>
          <w:tcPr>
            <w:tcW w:w="567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З</w:t>
            </w:r>
          </w:p>
        </w:tc>
        <w:tc>
          <w:tcPr>
            <w:tcW w:w="593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5E6941" w:rsidRDefault="009F5A5F" w:rsidP="009F5A5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E694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Основни, помощни и обслужващи сгради, прилежащи площи към тях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Административно - битова сграда (самостоятелна сграда)</w:t>
            </w:r>
          </w:p>
        </w:tc>
        <w:tc>
          <w:tcPr>
            <w:tcW w:w="34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Сграда, включваща в обема си само административно - битови помещения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Включва </w:t>
            </w:r>
            <w:r w:rsidRPr="008D4CE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всички дейности по изграждането, без външни електро и ВиК връзки, включени в позиция 5.2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55%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53%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15%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57%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Всеки тип сграда, свързана с изпълнението на обекта и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непопадаща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в определенията за СМР по точка 1, 3 и 4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Включва </w:t>
            </w:r>
            <w:r w:rsidRPr="008D4CE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всички дейности по изграждането, без външни електро и ВиК връзки, включени в позиция 5.2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57%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52%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17%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54%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4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Стопански сгради с технологично изискуема климатизация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Включва </w:t>
            </w:r>
            <w:r w:rsidRPr="008D4CE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всички дейности по изграждането, без външни електро и ВиК връзки, включени в позиция 5.2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57%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55%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56%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Метален навес</w:t>
            </w:r>
          </w:p>
        </w:tc>
        <w:tc>
          <w:tcPr>
            <w:tcW w:w="3404" w:type="dxa"/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всички дейности по изграждането, както и площадката в очертанията на навеса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</w:t>
            </w:r>
            <w:r w:rsidRPr="008D4CE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без външни електро и ВиК връзки, включени в позиция 5.2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42%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8%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22%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Вертикална планировка и озеленяване:</w:t>
            </w:r>
          </w:p>
        </w:tc>
      </w:tr>
      <w:tr w:rsidR="009F5A5F" w:rsidRPr="001040AA" w:rsidTr="009F5A5F">
        <w:trPr>
          <w:jc w:val="center"/>
        </w:trPr>
        <w:tc>
          <w:tcPr>
            <w:tcW w:w="601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5.1</w:t>
            </w:r>
          </w:p>
        </w:tc>
        <w:tc>
          <w:tcPr>
            <w:tcW w:w="2125" w:type="dxa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404" w:type="dxa"/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 - площи с настилки от асфалтобетон, бетон, бетонови или тротоарни плочи, паркоместа и др.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Прилага се в случаите, когато не са предвидени дейности, свързани с площадкови инженерни мрежи.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Забележка: не се включват площите, определени за дейности по:</w:t>
            </w:r>
          </w:p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– озеленяване;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подпорни стени;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подземни и надземни резервоари;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ПСОВ;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–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авторазтоварища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автомобилни везни;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дезинфекционни площадки;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дейностите, описани в СМР 7 (</w:t>
            </w:r>
            <w:r w:rsidRPr="00554A4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фундаменти под силози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8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45%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14%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20%</w:t>
            </w:r>
          </w:p>
        </w:tc>
      </w:tr>
      <w:tr w:rsidR="009F5A5F" w:rsidRPr="001040AA" w:rsidTr="009F5A5F">
        <w:trPr>
          <w:jc w:val="center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5.2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4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 -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Забележка: не се включват площите, определени за дейности описани в „Забележка” към СМР 5.1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45%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14%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5.3</w:t>
            </w:r>
          </w:p>
        </w:tc>
        <w:tc>
          <w:tcPr>
            <w:tcW w:w="2125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Озеленяване/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Ландшафтна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архитектура</w:t>
            </w:r>
          </w:p>
        </w:tc>
        <w:tc>
          <w:tcPr>
            <w:tcW w:w="3404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Забележка: не са допустими дейности по засаждане с едногодишни растения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Default="009F5A5F" w:rsidP="009F5A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Default="009F5A5F" w:rsidP="009F5A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Default="009F5A5F" w:rsidP="009F5A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Default="009F5A5F" w:rsidP="009F5A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Огради: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6.1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Плътна масивна ограда</w:t>
            </w:r>
          </w:p>
        </w:tc>
        <w:tc>
          <w:tcPr>
            <w:tcW w:w="3404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м`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44%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41%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12%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6.2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Ажурна ограда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Ограда, състояща се от: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плътна част: с височина до 0.60м и/или плътни (масивни) елементи с височина над 0.60м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и/или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прозирни елементи: метални, дървени (или др. материал) пана или отделни елементи;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включват се фундаментите на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оградните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елементи, както и врати/портали в оградата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Забележка: не се включва лека прозирна ограда, описана в СМР 6.3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м`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44%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41%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12%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6.3</w:t>
            </w:r>
          </w:p>
        </w:tc>
        <w:tc>
          <w:tcPr>
            <w:tcW w:w="2125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Телена ограда</w:t>
            </w:r>
          </w:p>
        </w:tc>
        <w:tc>
          <w:tcPr>
            <w:tcW w:w="3404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оградна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мрежа, бодлива тел и др.), вкл. фундаментите на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оградните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елементи, както и врати/портали в оградата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м`</w:t>
            </w:r>
          </w:p>
        </w:tc>
        <w:tc>
          <w:tcPr>
            <w:tcW w:w="783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44%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41%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12%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Силозно стопанство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2125" w:type="dxa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Силозно стопанство</w:t>
            </w:r>
          </w:p>
        </w:tc>
        <w:tc>
          <w:tcPr>
            <w:tcW w:w="3404" w:type="dxa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доставка, монтаж и изпълнение на: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силози с плоско дъно и силози на крака с конусно дъно, с всички необходими аксесоари и елементи към тях, заедно с бетоновия фундамент, върху който са изградени;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система за активна вентилация, централизирана компютъризирана система за температурен контрол;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– елементи за механизация и автоматизация на силозното стопанство: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редлери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елеватори,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шнекове,клапи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шибри,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пасарелки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 елеваторни кули, почистващи машини и др.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–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авторазтоварни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шахти - автоматизирани с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редлер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или гравитачен тип</w:t>
            </w:r>
          </w:p>
        </w:tc>
        <w:tc>
          <w:tcPr>
            <w:tcW w:w="708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куб.м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62%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55%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15%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32%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Фотоволтаични (соларни) системи:</w:t>
            </w:r>
          </w:p>
        </w:tc>
      </w:tr>
      <w:tr w:rsidR="009F5A5F" w:rsidRPr="006B4406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657480" w:rsidRDefault="00657480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2125" w:type="dxa"/>
            <w:vAlign w:val="bottom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404" w:type="dxa"/>
            <w:vMerge w:val="restart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Доставка и монтаж на мрежова фотоволтаична (соларна) система</w:t>
            </w:r>
          </w:p>
        </w:tc>
        <w:tc>
          <w:tcPr>
            <w:tcW w:w="708" w:type="dxa"/>
            <w:vMerge w:val="restart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kWp</w:t>
            </w:r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657480" w:rsidRDefault="00657480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2125" w:type="dxa"/>
            <w:vAlign w:val="bottom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404" w:type="dxa"/>
            <w:vMerge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657480" w:rsidRDefault="00657480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2125" w:type="dxa"/>
            <w:vAlign w:val="center"/>
          </w:tcPr>
          <w:p w:rsidR="009F5A5F" w:rsidRPr="00F11E5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11E5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Съоръжения за локално съхранение на енергия (батерии)</w:t>
            </w:r>
          </w:p>
        </w:tc>
        <w:tc>
          <w:tcPr>
            <w:tcW w:w="3404" w:type="dxa"/>
            <w:vAlign w:val="center"/>
          </w:tcPr>
          <w:p w:rsidR="009F5A5F" w:rsidRPr="00F11E5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11E5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Доставка и монтаж на съоръжения за локално съхранение на енергия (батерии)</w:t>
            </w:r>
          </w:p>
        </w:tc>
        <w:tc>
          <w:tcPr>
            <w:tcW w:w="708" w:type="dxa"/>
            <w:vAlign w:val="center"/>
          </w:tcPr>
          <w:p w:rsidR="009F5A5F" w:rsidRPr="00F11E5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11E5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  <w:proofErr w:type="spellStart"/>
            <w:r w:rsidRPr="00F11E5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kWh</w:t>
            </w:r>
            <w:proofErr w:type="spellEnd"/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F0645" w:rsidRPr="001040AA" w:rsidTr="006C4008">
        <w:trPr>
          <w:cantSplit/>
          <w:jc w:val="center"/>
        </w:trPr>
        <w:tc>
          <w:tcPr>
            <w:tcW w:w="2726" w:type="dxa"/>
            <w:gridSpan w:val="2"/>
            <w:vAlign w:val="center"/>
          </w:tcPr>
          <w:p w:rsidR="000F0645" w:rsidRPr="00F11E50" w:rsidRDefault="000F0645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Автономни</w:t>
            </w:r>
            <w:r w:rsidRPr="00D272D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фотоволтаични (соларни) системи</w:t>
            </w:r>
          </w:p>
        </w:tc>
        <w:tc>
          <w:tcPr>
            <w:tcW w:w="7232" w:type="dxa"/>
            <w:gridSpan w:val="8"/>
            <w:vAlign w:val="center"/>
          </w:tcPr>
          <w:p w:rsidR="000F0645" w:rsidRPr="00EF4CC0" w:rsidRDefault="000F0645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272D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*При определяне на </w:t>
            </w:r>
            <w:r w:rsidRPr="00D272D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</w:rPr>
              <w:t>максимално</w:t>
            </w:r>
            <w:r w:rsidRPr="00D272D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допустимите разходи за автономни фотоволтаични (соларни) системи, се използват цените, определени за СМР 8.1 или СМР 8.2, </w:t>
            </w:r>
            <w:r w:rsidRPr="00D272D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</w:rPr>
              <w:t>в зависимост от</w:t>
            </w:r>
            <w:r w:rsidRPr="00D272D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мощността </w:t>
            </w:r>
            <w:r w:rsidRPr="00D272D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</w:rPr>
              <w:t>(</w:t>
            </w:r>
            <w:proofErr w:type="spellStart"/>
            <w:r w:rsidRPr="00D272D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  <w:lang w:val="en-US"/>
              </w:rPr>
              <w:t>kWp</w:t>
            </w:r>
            <w:proofErr w:type="spellEnd"/>
            <w:r w:rsidRPr="00D272D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  <w:lang w:val="en-US"/>
              </w:rPr>
              <w:t xml:space="preserve">) </w:t>
            </w:r>
            <w:r w:rsidRPr="00D272D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 системата, както и цените определени за СМР 8.3, съобразно капацитета </w:t>
            </w:r>
            <w:r w:rsidRPr="00D272D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  <w:lang w:val="en-US"/>
              </w:rPr>
              <w:t>(kWh)</w:t>
            </w:r>
            <w:r w:rsidRPr="00D272D1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Pr="00D272D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на съоръженията за локално съхранение на енергия (батерии)</w:t>
            </w:r>
          </w:p>
        </w:tc>
      </w:tr>
    </w:tbl>
    <w:p w:rsidR="00793880" w:rsidRPr="0059626F" w:rsidRDefault="00793880" w:rsidP="00793880">
      <w:pPr>
        <w:pStyle w:val="BodyText3"/>
        <w:numPr>
          <w:ilvl w:val="0"/>
          <w:numId w:val="27"/>
        </w:numPr>
        <w:spacing w:before="240" w:line="320" w:lineRule="exact"/>
        <w:ind w:left="0" w:firstLine="284"/>
        <w:rPr>
          <w:szCs w:val="24"/>
        </w:rPr>
      </w:pPr>
      <w:r w:rsidRPr="0059626F">
        <w:rPr>
          <w:szCs w:val="24"/>
        </w:rPr>
        <w:t xml:space="preserve"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строеж, описани в колони </w:t>
      </w:r>
      <w:r w:rsidRPr="0059626F">
        <w:rPr>
          <w:b/>
          <w:i/>
          <w:szCs w:val="24"/>
        </w:rPr>
        <w:t>Е, Ж, З</w:t>
      </w:r>
      <w:r w:rsidRPr="0059626F">
        <w:rPr>
          <w:i/>
          <w:szCs w:val="24"/>
        </w:rPr>
        <w:t xml:space="preserve"> </w:t>
      </w:r>
      <w:r w:rsidRPr="0059626F">
        <w:rPr>
          <w:szCs w:val="24"/>
        </w:rPr>
        <w:t>и</w:t>
      </w:r>
      <w:r w:rsidRPr="0059626F">
        <w:rPr>
          <w:i/>
          <w:szCs w:val="24"/>
        </w:rPr>
        <w:t xml:space="preserve"> </w:t>
      </w:r>
      <w:proofErr w:type="spellStart"/>
      <w:r w:rsidRPr="0059626F">
        <w:rPr>
          <w:b/>
          <w:i/>
          <w:szCs w:val="24"/>
        </w:rPr>
        <w:t>И</w:t>
      </w:r>
      <w:proofErr w:type="spellEnd"/>
      <w:r w:rsidRPr="0059626F">
        <w:rPr>
          <w:szCs w:val="24"/>
        </w:rPr>
        <w:t>.</w:t>
      </w:r>
    </w:p>
    <w:p w:rsidR="00793880" w:rsidRPr="0059626F" w:rsidRDefault="00657480" w:rsidP="00793880">
      <w:pPr>
        <w:pStyle w:val="BodyText3"/>
        <w:numPr>
          <w:ilvl w:val="0"/>
          <w:numId w:val="27"/>
        </w:numPr>
        <w:spacing w:line="320" w:lineRule="exact"/>
        <w:ind w:left="0" w:firstLine="284"/>
        <w:rPr>
          <w:szCs w:val="24"/>
        </w:rPr>
      </w:pPr>
      <w:r>
        <w:rPr>
          <w:szCs w:val="24"/>
          <w:lang w:val="en-US"/>
        </w:rPr>
        <w:t>O</w:t>
      </w:r>
      <w:proofErr w:type="spellStart"/>
      <w:r>
        <w:rPr>
          <w:szCs w:val="24"/>
        </w:rPr>
        <w:t>пределя</w:t>
      </w:r>
      <w:proofErr w:type="spellEnd"/>
      <w:r>
        <w:rPr>
          <w:szCs w:val="24"/>
          <w:lang w:val="en-US"/>
        </w:rPr>
        <w:t xml:space="preserve"> </w:t>
      </w:r>
      <w:r>
        <w:rPr>
          <w:szCs w:val="24"/>
        </w:rPr>
        <w:t>се</w:t>
      </w:r>
      <w:r w:rsidR="00793880" w:rsidRPr="0059626F">
        <w:rPr>
          <w:szCs w:val="24"/>
        </w:rPr>
        <w:t xml:space="preserve"> максимално допустим размер на площта (измерена в метри на квадрат /м</w:t>
      </w:r>
      <w:r w:rsidR="00793880" w:rsidRPr="0059626F">
        <w:rPr>
          <w:szCs w:val="24"/>
          <w:vertAlign w:val="superscript"/>
        </w:rPr>
        <w:t>2</w:t>
      </w:r>
      <w:r w:rsidR="00793880" w:rsidRPr="0059626F">
        <w:rPr>
          <w:szCs w:val="24"/>
        </w:rPr>
        <w:t xml:space="preserve">/) за финансиране на разходи за строително-монтажни работи за позиция </w:t>
      </w:r>
      <w:r w:rsidR="00793880" w:rsidRPr="0059626F">
        <w:rPr>
          <w:b/>
          <w:i/>
          <w:szCs w:val="24"/>
          <w:lang w:val="en-US"/>
        </w:rPr>
        <w:t>5</w:t>
      </w:r>
      <w:r w:rsidR="00793880" w:rsidRPr="0059626F">
        <w:rPr>
          <w:b/>
          <w:i/>
          <w:szCs w:val="24"/>
        </w:rPr>
        <w:t>.1 „</w:t>
      </w:r>
      <w:r w:rsidR="00793880" w:rsidRPr="0059626F">
        <w:rPr>
          <w:b/>
          <w:i/>
          <w:szCs w:val="24"/>
          <w:lang w:val="ru-RU"/>
        </w:rPr>
        <w:t>Вертикална планировка без площадкови мрежи</w:t>
      </w:r>
      <w:r w:rsidR="00793880" w:rsidRPr="0059626F">
        <w:rPr>
          <w:b/>
          <w:i/>
          <w:szCs w:val="24"/>
          <w:lang w:val="en-US"/>
        </w:rPr>
        <w:t>”</w:t>
      </w:r>
      <w:r w:rsidR="00793880" w:rsidRPr="0059626F">
        <w:rPr>
          <w:szCs w:val="24"/>
        </w:rPr>
        <w:t xml:space="preserve">, позиция </w:t>
      </w:r>
      <w:r w:rsidR="00793880" w:rsidRPr="0059626F">
        <w:rPr>
          <w:b/>
          <w:i/>
          <w:szCs w:val="24"/>
          <w:lang w:val="en-US"/>
        </w:rPr>
        <w:t>5</w:t>
      </w:r>
      <w:r w:rsidR="00793880" w:rsidRPr="0059626F">
        <w:rPr>
          <w:b/>
          <w:i/>
          <w:szCs w:val="24"/>
        </w:rPr>
        <w:t>.2 „Вертикална</w:t>
      </w:r>
      <w:r w:rsidR="00793880" w:rsidRPr="0059626F">
        <w:rPr>
          <w:b/>
          <w:i/>
          <w:szCs w:val="24"/>
          <w:lang w:val="ru-RU"/>
        </w:rPr>
        <w:t xml:space="preserve"> планировка с площадкови мрежи”</w:t>
      </w:r>
      <w:r w:rsidR="00793880" w:rsidRPr="0059626F">
        <w:rPr>
          <w:szCs w:val="24"/>
          <w:lang w:eastAsia="zh-TW"/>
        </w:rPr>
        <w:t xml:space="preserve"> и позиция </w:t>
      </w:r>
      <w:r w:rsidR="00793880" w:rsidRPr="0059626F">
        <w:rPr>
          <w:b/>
          <w:i/>
          <w:szCs w:val="24"/>
          <w:lang w:val="en-US" w:eastAsia="zh-TW"/>
        </w:rPr>
        <w:t>5</w:t>
      </w:r>
      <w:r w:rsidR="00793880" w:rsidRPr="0059626F">
        <w:rPr>
          <w:b/>
          <w:i/>
          <w:szCs w:val="24"/>
          <w:lang w:eastAsia="zh-TW"/>
        </w:rPr>
        <w:t>.3 „Озеленяване/</w:t>
      </w:r>
      <w:proofErr w:type="spellStart"/>
      <w:r w:rsidR="00793880" w:rsidRPr="0059626F">
        <w:rPr>
          <w:b/>
          <w:i/>
          <w:szCs w:val="24"/>
          <w:lang w:eastAsia="zh-TW"/>
        </w:rPr>
        <w:t>Ландшафтна</w:t>
      </w:r>
      <w:proofErr w:type="spellEnd"/>
      <w:r w:rsidR="00793880" w:rsidRPr="0059626F">
        <w:rPr>
          <w:b/>
          <w:i/>
          <w:szCs w:val="24"/>
          <w:lang w:eastAsia="zh-TW"/>
        </w:rPr>
        <w:t xml:space="preserve"> архитектура”</w:t>
      </w:r>
      <w:r w:rsidR="00793880" w:rsidRPr="0059626F">
        <w:rPr>
          <w:szCs w:val="24"/>
          <w:lang w:eastAsia="zh-TW"/>
        </w:rPr>
        <w:t xml:space="preserve"> като същите да не надвишават</w:t>
      </w:r>
      <w:r w:rsidR="00793880" w:rsidRPr="0059626F">
        <w:rPr>
          <w:szCs w:val="24"/>
        </w:rPr>
        <w:t xml:space="preserve"> </w:t>
      </w:r>
      <w:r w:rsidR="00793880" w:rsidRPr="0059626F">
        <w:rPr>
          <w:szCs w:val="24"/>
          <w:lang w:val="en-US"/>
        </w:rPr>
        <w:t>2.5</w:t>
      </w:r>
      <w:r w:rsidR="00793880" w:rsidRPr="0059626F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</w:t>
      </w:r>
      <w:r>
        <w:rPr>
          <w:szCs w:val="24"/>
        </w:rPr>
        <w:t>дейности</w:t>
      </w:r>
      <w:r w:rsidR="00793880" w:rsidRPr="0059626F">
        <w:rPr>
          <w:rFonts w:eastAsia="Calibri"/>
          <w:szCs w:val="24"/>
        </w:rPr>
        <w:t>.</w:t>
      </w:r>
    </w:p>
    <w:p w:rsidR="00793880" w:rsidRPr="0059626F" w:rsidRDefault="00793880" w:rsidP="00793880">
      <w:pPr>
        <w:pStyle w:val="BodyText3"/>
        <w:spacing w:line="320" w:lineRule="exact"/>
        <w:ind w:firstLine="284"/>
        <w:rPr>
          <w:szCs w:val="24"/>
        </w:rPr>
      </w:pPr>
      <w:r w:rsidRPr="0059626F">
        <w:rPr>
          <w:szCs w:val="24"/>
        </w:rPr>
        <w:t>2.1. При изчислението на разгънатата 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793880" w:rsidRDefault="00793880" w:rsidP="00793880">
      <w:pPr>
        <w:pStyle w:val="BodyText3"/>
        <w:spacing w:line="320" w:lineRule="exact"/>
        <w:ind w:firstLine="284"/>
        <w:rPr>
          <w:szCs w:val="24"/>
        </w:rPr>
      </w:pPr>
      <w:r w:rsidRPr="0059626F">
        <w:rPr>
          <w:szCs w:val="24"/>
        </w:rPr>
        <w:t>2.2. При изчислението на разгънатата застроена площ /РЗП/ да бъдат включени само сградите, които действително функционират и се използват по предназначение и касаят допустими дейности, свързани със земеделското производство, включително такива, използвани за опазване на компонентите на околната среда.</w:t>
      </w:r>
    </w:p>
    <w:p w:rsidR="00735AFA" w:rsidRPr="00735AFA" w:rsidRDefault="00735AFA" w:rsidP="00735AFA">
      <w:pPr>
        <w:spacing w:after="0" w:line="320" w:lineRule="exact"/>
        <w:ind w:firstLine="284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735AFA">
        <w:rPr>
          <w:rFonts w:ascii="Times New Roman" w:eastAsia="PMingLiU" w:hAnsi="Times New Roman"/>
          <w:sz w:val="24"/>
          <w:szCs w:val="24"/>
          <w:lang w:eastAsia="en-US"/>
        </w:rPr>
        <w:lastRenderedPageBreak/>
        <w:t xml:space="preserve">3. *При определяне на </w:t>
      </w:r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eastAsia="en-US"/>
        </w:rPr>
        <w:t>максимално</w:t>
      </w:r>
      <w:r w:rsidRPr="00735AFA">
        <w:rPr>
          <w:rFonts w:ascii="Times New Roman" w:eastAsia="PMingLiU" w:hAnsi="Times New Roman"/>
          <w:sz w:val="24"/>
          <w:szCs w:val="24"/>
          <w:lang w:eastAsia="en-US"/>
        </w:rPr>
        <w:t xml:space="preserve"> допустимите разходи за автономни фотоволтаични (соларни) системи, се използват цените, определени за СМР 8.1 или СМР 8.2, </w:t>
      </w:r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eastAsia="en-US"/>
        </w:rPr>
        <w:t>в зависимост от</w:t>
      </w:r>
      <w:r w:rsidRPr="00735AFA">
        <w:rPr>
          <w:rFonts w:ascii="Times New Roman" w:eastAsia="PMingLiU" w:hAnsi="Times New Roman"/>
          <w:sz w:val="24"/>
          <w:szCs w:val="24"/>
          <w:lang w:eastAsia="en-US"/>
        </w:rPr>
        <w:t xml:space="preserve"> мощността </w:t>
      </w:r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eastAsia="en-US"/>
        </w:rPr>
        <w:t>(</w:t>
      </w:r>
      <w:proofErr w:type="spellStart"/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val="en-US" w:eastAsia="en-US"/>
        </w:rPr>
        <w:t>kWp</w:t>
      </w:r>
      <w:proofErr w:type="spellEnd"/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val="en-US" w:eastAsia="en-US"/>
        </w:rPr>
        <w:t xml:space="preserve">) </w:t>
      </w:r>
      <w:r w:rsidRPr="00735AFA">
        <w:rPr>
          <w:rFonts w:ascii="Times New Roman" w:eastAsia="PMingLiU" w:hAnsi="Times New Roman"/>
          <w:sz w:val="24"/>
          <w:szCs w:val="24"/>
          <w:lang w:eastAsia="en-US"/>
        </w:rPr>
        <w:t xml:space="preserve">на системата, както и цените определени за СМР 8.3, съобразно капацитета </w:t>
      </w:r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val="en-US" w:eastAsia="en-US"/>
        </w:rPr>
        <w:t>(kWh)</w:t>
      </w:r>
      <w:r w:rsidRPr="00735AFA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r w:rsidRPr="00735AFA">
        <w:rPr>
          <w:rFonts w:ascii="Times New Roman" w:eastAsia="PMingLiU" w:hAnsi="Times New Roman"/>
          <w:sz w:val="24"/>
          <w:szCs w:val="24"/>
          <w:lang w:eastAsia="en-US"/>
        </w:rPr>
        <w:t>на съоръженията за локално съхранение на енергия (батерии).</w:t>
      </w:r>
    </w:p>
    <w:p w:rsidR="00793880" w:rsidRPr="0059626F" w:rsidRDefault="00793880" w:rsidP="00793880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793880" w:rsidRPr="00676437" w:rsidRDefault="00793880" w:rsidP="00793880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9626F">
        <w:rPr>
          <w:rFonts w:ascii="Times New Roman" w:hAnsi="Times New Roman"/>
          <w:b/>
          <w:sz w:val="24"/>
          <w:szCs w:val="24"/>
        </w:rPr>
        <w:t xml:space="preserve">*Забележка: 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Пределните разходи са определени в </w:t>
      </w:r>
      <w:r w:rsidR="00676437" w:rsidRPr="00676437">
        <w:rPr>
          <w:rFonts w:ascii="Times New Roman" w:hAnsi="Times New Roman"/>
          <w:b/>
          <w:i/>
          <w:sz w:val="24"/>
          <w:szCs w:val="24"/>
        </w:rPr>
        <w:t>€</w:t>
      </w:r>
      <w:r w:rsidR="00676437" w:rsidRPr="00676437">
        <w:rPr>
          <w:rFonts w:ascii="Times New Roman" w:hAnsi="Times New Roman"/>
          <w:b/>
          <w:sz w:val="24"/>
          <w:szCs w:val="24"/>
        </w:rPr>
        <w:t>/м</w:t>
      </w:r>
      <w:r w:rsidR="00676437" w:rsidRPr="0067643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. Мерните единици </w:t>
      </w:r>
      <w:r w:rsidR="00676437" w:rsidRPr="00676437">
        <w:rPr>
          <w:rFonts w:ascii="Times New Roman" w:hAnsi="Times New Roman"/>
          <w:b/>
          <w:i/>
          <w:sz w:val="24"/>
          <w:szCs w:val="24"/>
        </w:rPr>
        <w:t>€</w:t>
      </w:r>
      <w:r w:rsidR="00676437" w:rsidRPr="00676437">
        <w:rPr>
          <w:rFonts w:ascii="Times New Roman" w:hAnsi="Times New Roman"/>
          <w:b/>
          <w:sz w:val="24"/>
          <w:szCs w:val="24"/>
        </w:rPr>
        <w:t>/м</w:t>
      </w:r>
      <w:r w:rsidR="00676437" w:rsidRPr="00676437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; </w:t>
      </w:r>
      <w:r w:rsidR="00676437" w:rsidRPr="00676437">
        <w:rPr>
          <w:rFonts w:ascii="Times New Roman" w:hAnsi="Times New Roman"/>
          <w:b/>
          <w:i/>
          <w:sz w:val="24"/>
          <w:szCs w:val="24"/>
        </w:rPr>
        <w:t>€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/м' и </w:t>
      </w:r>
      <w:r w:rsidR="00676437" w:rsidRPr="00676437">
        <w:rPr>
          <w:rFonts w:ascii="Times New Roman" w:hAnsi="Times New Roman"/>
          <w:b/>
          <w:i/>
          <w:sz w:val="24"/>
          <w:szCs w:val="24"/>
        </w:rPr>
        <w:t>€</w:t>
      </w:r>
      <w:r w:rsidR="00676437" w:rsidRPr="00676437">
        <w:rPr>
          <w:rFonts w:ascii="Times New Roman" w:hAnsi="Times New Roman"/>
          <w:b/>
          <w:sz w:val="24"/>
          <w:szCs w:val="24"/>
        </w:rPr>
        <w:t>/</w:t>
      </w:r>
      <w:proofErr w:type="spellStart"/>
      <w:r w:rsidR="00676437" w:rsidRPr="00676437">
        <w:rPr>
          <w:rFonts w:ascii="Times New Roman" w:hAnsi="Times New Roman"/>
          <w:b/>
          <w:sz w:val="24"/>
          <w:szCs w:val="24"/>
          <w:lang w:val="en-US"/>
        </w:rPr>
        <w:t>kWp</w:t>
      </w:r>
      <w:proofErr w:type="spellEnd"/>
      <w:r w:rsidR="00676437" w:rsidRPr="00676437">
        <w:rPr>
          <w:rFonts w:ascii="Times New Roman" w:hAnsi="Times New Roman"/>
          <w:b/>
          <w:sz w:val="24"/>
          <w:szCs w:val="24"/>
          <w:lang w:val="en-US"/>
        </w:rPr>
        <w:t>(kWh)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 се използват само където е приложимо</w:t>
      </w:r>
      <w:r w:rsidR="00676437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9F5A5F" w:rsidRPr="00943DFA" w:rsidRDefault="009F5A5F" w:rsidP="009F5A5F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sectPr w:rsidR="009F5A5F" w:rsidRPr="00943D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E7D" w:rsidRDefault="000E6E7D" w:rsidP="00DA4C24">
      <w:pPr>
        <w:spacing w:after="0" w:line="240" w:lineRule="auto"/>
      </w:pPr>
      <w:r>
        <w:separator/>
      </w:r>
    </w:p>
  </w:endnote>
  <w:endnote w:type="continuationSeparator" w:id="0">
    <w:p w:rsidR="000E6E7D" w:rsidRDefault="000E6E7D" w:rsidP="00DA4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E7D" w:rsidRDefault="000E6E7D" w:rsidP="00DA4C24">
      <w:pPr>
        <w:spacing w:after="0" w:line="240" w:lineRule="auto"/>
      </w:pPr>
      <w:r>
        <w:separator/>
      </w:r>
    </w:p>
  </w:footnote>
  <w:footnote w:type="continuationSeparator" w:id="0">
    <w:p w:rsidR="000E6E7D" w:rsidRDefault="000E6E7D" w:rsidP="00DA4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C24" w:rsidRPr="00DA4C24" w:rsidRDefault="00DA4C24" w:rsidP="00DA4C24">
    <w:pPr>
      <w:pStyle w:val="Header"/>
      <w:jc w:val="right"/>
      <w:rPr>
        <w:rFonts w:ascii="Times New Roman" w:hAnsi="Times New Roman"/>
        <w:b/>
        <w:sz w:val="24"/>
        <w:szCs w:val="24"/>
      </w:rPr>
    </w:pPr>
    <w:r w:rsidRPr="00DA4C24">
      <w:rPr>
        <w:rFonts w:ascii="Times New Roman" w:hAnsi="Times New Roman"/>
        <w:b/>
        <w:sz w:val="24"/>
        <w:szCs w:val="24"/>
      </w:rPr>
      <w:t>Приложение № 8 към</w:t>
    </w:r>
  </w:p>
  <w:p w:rsidR="00DA4C24" w:rsidRDefault="00DA4C24" w:rsidP="00DA4C24">
    <w:pPr>
      <w:pStyle w:val="Header"/>
      <w:jc w:val="right"/>
    </w:pPr>
    <w:r w:rsidRPr="00DA4C24">
      <w:rPr>
        <w:rFonts w:ascii="Times New Roman" w:hAnsi="Times New Roman"/>
        <w:b/>
        <w:sz w:val="24"/>
        <w:szCs w:val="24"/>
      </w:rPr>
      <w:t>Условията за кандидатстване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13CC"/>
    <w:multiLevelType w:val="multilevel"/>
    <w:tmpl w:val="A0D830E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233" w:hanging="52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" w15:restartNumberingAfterBreak="0">
    <w:nsid w:val="00D35C60"/>
    <w:multiLevelType w:val="hybridMultilevel"/>
    <w:tmpl w:val="26AACF9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F2E02"/>
    <w:multiLevelType w:val="multilevel"/>
    <w:tmpl w:val="A26A251C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</w:rPr>
    </w:lvl>
  </w:abstractNum>
  <w:abstractNum w:abstractNumId="3" w15:restartNumberingAfterBreak="0">
    <w:nsid w:val="040848B9"/>
    <w:multiLevelType w:val="hybridMultilevel"/>
    <w:tmpl w:val="5D0622E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6854B33"/>
    <w:multiLevelType w:val="hybridMultilevel"/>
    <w:tmpl w:val="2C24B7B2"/>
    <w:lvl w:ilvl="0" w:tplc="D3749EF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83E6B52"/>
    <w:multiLevelType w:val="hybridMultilevel"/>
    <w:tmpl w:val="D6B8CC4A"/>
    <w:lvl w:ilvl="0" w:tplc="C4F6896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1CE5085"/>
    <w:multiLevelType w:val="multilevel"/>
    <w:tmpl w:val="A26A251C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</w:rPr>
    </w:lvl>
  </w:abstractNum>
  <w:abstractNum w:abstractNumId="7" w15:restartNumberingAfterBreak="0">
    <w:nsid w:val="20065085"/>
    <w:multiLevelType w:val="hybridMultilevel"/>
    <w:tmpl w:val="693238AC"/>
    <w:lvl w:ilvl="0" w:tplc="6F30255A">
      <w:start w:val="8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7906A2E"/>
    <w:multiLevelType w:val="hybridMultilevel"/>
    <w:tmpl w:val="86086D14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C782710"/>
    <w:multiLevelType w:val="hybridMultilevel"/>
    <w:tmpl w:val="882C8C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C17604"/>
    <w:multiLevelType w:val="hybridMultilevel"/>
    <w:tmpl w:val="4830CB60"/>
    <w:lvl w:ilvl="0" w:tplc="57F009E8">
      <w:start w:val="3"/>
      <w:numFmt w:val="decimal"/>
      <w:lvlText w:val="%1."/>
      <w:lvlJc w:val="left"/>
      <w:pPr>
        <w:ind w:left="928" w:hanging="360"/>
      </w:pPr>
      <w:rPr>
        <w:rFonts w:eastAsia="PMingLiU" w:cs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D4A0602"/>
    <w:multiLevelType w:val="multilevel"/>
    <w:tmpl w:val="A26A251C"/>
    <w:lvl w:ilvl="0">
      <w:start w:val="1"/>
      <w:numFmt w:val="upperRoman"/>
      <w:lvlText w:val="%1."/>
      <w:lvlJc w:val="left"/>
      <w:pPr>
        <w:ind w:left="327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3" w:hanging="1800"/>
      </w:pPr>
      <w:rPr>
        <w:rFonts w:hint="default"/>
      </w:rPr>
    </w:lvl>
  </w:abstractNum>
  <w:abstractNum w:abstractNumId="12" w15:restartNumberingAfterBreak="0">
    <w:nsid w:val="407334C6"/>
    <w:multiLevelType w:val="hybridMultilevel"/>
    <w:tmpl w:val="345648E2"/>
    <w:lvl w:ilvl="0" w:tplc="357066C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82325CB"/>
    <w:multiLevelType w:val="multilevel"/>
    <w:tmpl w:val="3498FA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84A0AA3"/>
    <w:multiLevelType w:val="hybridMultilevel"/>
    <w:tmpl w:val="DEAC226C"/>
    <w:lvl w:ilvl="0" w:tplc="B894BF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EA6AA6"/>
    <w:multiLevelType w:val="hybridMultilevel"/>
    <w:tmpl w:val="C1B026FA"/>
    <w:lvl w:ilvl="0" w:tplc="63C2A21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B72AF0"/>
    <w:multiLevelType w:val="multilevel"/>
    <w:tmpl w:val="A26A251C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</w:rPr>
    </w:lvl>
  </w:abstractNum>
  <w:abstractNum w:abstractNumId="17" w15:restartNumberingAfterBreak="0">
    <w:nsid w:val="4C384067"/>
    <w:multiLevelType w:val="hybridMultilevel"/>
    <w:tmpl w:val="01883828"/>
    <w:lvl w:ilvl="0" w:tplc="E53E24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FBD3A71"/>
    <w:multiLevelType w:val="hybridMultilevel"/>
    <w:tmpl w:val="F06C0FFA"/>
    <w:lvl w:ilvl="0" w:tplc="770C82A8">
      <w:start w:val="1"/>
      <w:numFmt w:val="upperRoman"/>
      <w:lvlText w:val="%1."/>
      <w:lvlJc w:val="left"/>
      <w:pPr>
        <w:ind w:left="1483" w:hanging="91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5B1383D"/>
    <w:multiLevelType w:val="hybridMultilevel"/>
    <w:tmpl w:val="00D8CC82"/>
    <w:lvl w:ilvl="0" w:tplc="F2F66AA6">
      <w:start w:val="11"/>
      <w:numFmt w:val="decimal"/>
      <w:lvlText w:val="%1"/>
      <w:lvlJc w:val="left"/>
      <w:pPr>
        <w:ind w:left="928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6647322"/>
    <w:multiLevelType w:val="hybridMultilevel"/>
    <w:tmpl w:val="4D9229D0"/>
    <w:lvl w:ilvl="0" w:tplc="040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9E54D26"/>
    <w:multiLevelType w:val="multilevel"/>
    <w:tmpl w:val="D4EA9038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  <w:b/>
      </w:rPr>
    </w:lvl>
  </w:abstractNum>
  <w:abstractNum w:abstractNumId="22" w15:restartNumberingAfterBreak="0">
    <w:nsid w:val="77C17BEB"/>
    <w:multiLevelType w:val="hybridMultilevel"/>
    <w:tmpl w:val="01EE567E"/>
    <w:lvl w:ilvl="0" w:tplc="D6D662F6">
      <w:start w:val="8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C464F93"/>
    <w:multiLevelType w:val="hybridMultilevel"/>
    <w:tmpl w:val="274AA428"/>
    <w:lvl w:ilvl="0" w:tplc="E720356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3207" w:hanging="360"/>
      </w:pPr>
    </w:lvl>
    <w:lvl w:ilvl="2" w:tplc="0402001B" w:tentative="1">
      <w:start w:val="1"/>
      <w:numFmt w:val="lowerRoman"/>
      <w:lvlText w:val="%3."/>
      <w:lvlJc w:val="right"/>
      <w:pPr>
        <w:ind w:left="3927" w:hanging="180"/>
      </w:pPr>
    </w:lvl>
    <w:lvl w:ilvl="3" w:tplc="0402000F" w:tentative="1">
      <w:start w:val="1"/>
      <w:numFmt w:val="decimal"/>
      <w:lvlText w:val="%4."/>
      <w:lvlJc w:val="left"/>
      <w:pPr>
        <w:ind w:left="4647" w:hanging="360"/>
      </w:pPr>
    </w:lvl>
    <w:lvl w:ilvl="4" w:tplc="04020019" w:tentative="1">
      <w:start w:val="1"/>
      <w:numFmt w:val="lowerLetter"/>
      <w:lvlText w:val="%5."/>
      <w:lvlJc w:val="left"/>
      <w:pPr>
        <w:ind w:left="5367" w:hanging="360"/>
      </w:pPr>
    </w:lvl>
    <w:lvl w:ilvl="5" w:tplc="0402001B" w:tentative="1">
      <w:start w:val="1"/>
      <w:numFmt w:val="lowerRoman"/>
      <w:lvlText w:val="%6."/>
      <w:lvlJc w:val="right"/>
      <w:pPr>
        <w:ind w:left="6087" w:hanging="180"/>
      </w:pPr>
    </w:lvl>
    <w:lvl w:ilvl="6" w:tplc="0402000F" w:tentative="1">
      <w:start w:val="1"/>
      <w:numFmt w:val="decimal"/>
      <w:lvlText w:val="%7."/>
      <w:lvlJc w:val="left"/>
      <w:pPr>
        <w:ind w:left="6807" w:hanging="360"/>
      </w:pPr>
    </w:lvl>
    <w:lvl w:ilvl="7" w:tplc="04020019" w:tentative="1">
      <w:start w:val="1"/>
      <w:numFmt w:val="lowerLetter"/>
      <w:lvlText w:val="%8."/>
      <w:lvlJc w:val="left"/>
      <w:pPr>
        <w:ind w:left="7527" w:hanging="360"/>
      </w:pPr>
    </w:lvl>
    <w:lvl w:ilvl="8" w:tplc="0402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5" w15:restartNumberingAfterBreak="0">
    <w:nsid w:val="7EC51081"/>
    <w:multiLevelType w:val="multilevel"/>
    <w:tmpl w:val="BFA4AF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26" w15:restartNumberingAfterBreak="0">
    <w:nsid w:val="7FFC28B6"/>
    <w:multiLevelType w:val="hybridMultilevel"/>
    <w:tmpl w:val="25603C9C"/>
    <w:lvl w:ilvl="0" w:tplc="16762094">
      <w:start w:val="1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22"/>
  </w:num>
  <w:num w:numId="5">
    <w:abstractNumId w:val="7"/>
  </w:num>
  <w:num w:numId="6">
    <w:abstractNumId w:val="18"/>
  </w:num>
  <w:num w:numId="7">
    <w:abstractNumId w:val="11"/>
  </w:num>
  <w:num w:numId="8">
    <w:abstractNumId w:val="17"/>
  </w:num>
  <w:num w:numId="9">
    <w:abstractNumId w:val="21"/>
  </w:num>
  <w:num w:numId="10">
    <w:abstractNumId w:val="1"/>
  </w:num>
  <w:num w:numId="11">
    <w:abstractNumId w:val="19"/>
  </w:num>
  <w:num w:numId="12">
    <w:abstractNumId w:val="26"/>
  </w:num>
  <w:num w:numId="13">
    <w:abstractNumId w:val="10"/>
  </w:num>
  <w:num w:numId="14">
    <w:abstractNumId w:val="6"/>
  </w:num>
  <w:num w:numId="15">
    <w:abstractNumId w:val="25"/>
  </w:num>
  <w:num w:numId="16">
    <w:abstractNumId w:val="8"/>
  </w:num>
  <w:num w:numId="17">
    <w:abstractNumId w:val="24"/>
  </w:num>
  <w:num w:numId="18">
    <w:abstractNumId w:val="3"/>
  </w:num>
  <w:num w:numId="19">
    <w:abstractNumId w:val="12"/>
  </w:num>
  <w:num w:numId="20">
    <w:abstractNumId w:val="20"/>
  </w:num>
  <w:num w:numId="21">
    <w:abstractNumId w:val="16"/>
  </w:num>
  <w:num w:numId="22">
    <w:abstractNumId w:val="13"/>
  </w:num>
  <w:num w:numId="23">
    <w:abstractNumId w:val="0"/>
  </w:num>
  <w:num w:numId="24">
    <w:abstractNumId w:val="15"/>
  </w:num>
  <w:num w:numId="25">
    <w:abstractNumId w:val="2"/>
  </w:num>
  <w:num w:numId="26">
    <w:abstractNumId w:val="5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19D"/>
    <w:rsid w:val="000E6E7D"/>
    <w:rsid w:val="000F0645"/>
    <w:rsid w:val="00122EE4"/>
    <w:rsid w:val="003F6612"/>
    <w:rsid w:val="00515C86"/>
    <w:rsid w:val="00657480"/>
    <w:rsid w:val="00676437"/>
    <w:rsid w:val="00735AFA"/>
    <w:rsid w:val="00745146"/>
    <w:rsid w:val="0076417E"/>
    <w:rsid w:val="00793880"/>
    <w:rsid w:val="008407C4"/>
    <w:rsid w:val="00992C5F"/>
    <w:rsid w:val="009F5A5F"/>
    <w:rsid w:val="00A050DA"/>
    <w:rsid w:val="00AE719D"/>
    <w:rsid w:val="00C4693E"/>
    <w:rsid w:val="00CB1244"/>
    <w:rsid w:val="00D272D1"/>
    <w:rsid w:val="00DA4C24"/>
    <w:rsid w:val="00EB235F"/>
    <w:rsid w:val="00F1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FCAC84-0E1E-465F-AADD-E6AD7BC4D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A5F"/>
    <w:pPr>
      <w:spacing w:after="200" w:line="276" w:lineRule="auto"/>
    </w:pPr>
    <w:rPr>
      <w:rFonts w:ascii="Calibri" w:eastAsia="Times New Roman" w:hAnsi="Calibri" w:cs="Times New Roman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F5A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5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A5F"/>
    <w:rPr>
      <w:rFonts w:ascii="Calibri" w:eastAsia="Times New Roman" w:hAnsi="Calibri" w:cs="Times New Roman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9F5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A5F"/>
    <w:rPr>
      <w:rFonts w:ascii="Calibri" w:eastAsia="Times New Roman" w:hAnsi="Calibri" w:cs="Times New Roman"/>
      <w:lang w:eastAsia="bg-BG"/>
    </w:rPr>
  </w:style>
  <w:style w:type="character" w:styleId="Hyperlink">
    <w:name w:val="Hyperlink"/>
    <w:uiPriority w:val="99"/>
    <w:unhideWhenUsed/>
    <w:rsid w:val="009F5A5F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A5F"/>
    <w:rPr>
      <w:rFonts w:ascii="Tahoma" w:eastAsia="Times New Roman" w:hAnsi="Tahoma" w:cs="Tahoma"/>
      <w:sz w:val="16"/>
      <w:szCs w:val="1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Основен текст_"/>
    <w:link w:val="a0"/>
    <w:rsid w:val="009F5A5F"/>
    <w:rPr>
      <w:sz w:val="23"/>
      <w:szCs w:val="23"/>
      <w:shd w:val="clear" w:color="auto" w:fill="FFFFFF"/>
    </w:rPr>
  </w:style>
  <w:style w:type="paragraph" w:customStyle="1" w:styleId="a0">
    <w:name w:val="Основен текст"/>
    <w:basedOn w:val="Normal"/>
    <w:link w:val="a"/>
    <w:rsid w:val="009F5A5F"/>
    <w:pPr>
      <w:shd w:val="clear" w:color="auto" w:fill="FFFFFF"/>
      <w:spacing w:after="0" w:line="307" w:lineRule="exact"/>
      <w:ind w:hanging="64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BodyText3">
    <w:name w:val="Body Text 3"/>
    <w:basedOn w:val="Normal"/>
    <w:link w:val="BodyText3Char"/>
    <w:rsid w:val="009F5A5F"/>
    <w:pPr>
      <w:spacing w:after="0" w:line="240" w:lineRule="auto"/>
      <w:jc w:val="both"/>
    </w:pPr>
    <w:rPr>
      <w:rFonts w:ascii="Times New Roman" w:eastAsia="PMingLiU" w:hAnsi="Times New Roman"/>
      <w:sz w:val="24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9F5A5F"/>
    <w:rPr>
      <w:rFonts w:ascii="Times New Roman" w:eastAsia="PMingLiU" w:hAnsi="Times New Roman" w:cs="Times New Roman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F5A5F"/>
    <w:rPr>
      <w:rFonts w:ascii="Tahoma" w:eastAsia="Times New Roman" w:hAnsi="Tahoma" w:cs="Tahoma"/>
      <w:sz w:val="16"/>
      <w:szCs w:val="16"/>
      <w:lang w:eastAsia="bg-BG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F5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left">
    <w:name w:val="left"/>
    <w:basedOn w:val="DefaultParagraphFont"/>
    <w:rsid w:val="009F5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A5F"/>
    <w:rPr>
      <w:rFonts w:ascii="Calibri" w:eastAsia="Times New Roman" w:hAnsi="Calibri" w:cs="Times New Roman"/>
      <w:sz w:val="20"/>
      <w:szCs w:val="20"/>
      <w:lang w:eastAsia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A5F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A5F"/>
    <w:rPr>
      <w:rFonts w:ascii="Calibri" w:eastAsia="Times New Roman" w:hAnsi="Calibri" w:cs="Times New Roman"/>
      <w:b/>
      <w:bCs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A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Dimitar Evgeniev Ortakchiyski</dc:creator>
  <cp:keywords/>
  <dc:description/>
  <cp:lastModifiedBy>MZH</cp:lastModifiedBy>
  <cp:revision>9</cp:revision>
  <dcterms:created xsi:type="dcterms:W3CDTF">2025-10-27T09:48:00Z</dcterms:created>
  <dcterms:modified xsi:type="dcterms:W3CDTF">2026-01-29T12:19:00Z</dcterms:modified>
</cp:coreProperties>
</file>